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360" w:lineRule="auto"/>
        <w:ind w:firstLine="640"/>
        <w:jc w:val="center"/>
        <w:rPr>
          <w:rFonts w:hint="eastAsia" w:ascii="宋体" w:hAnsi="宋体"/>
          <w:sz w:val="36"/>
          <w:szCs w:val="36"/>
          <w:lang w:val="en-US" w:eastAsia="zh-CN"/>
        </w:rPr>
      </w:pPr>
      <w:r>
        <w:rPr>
          <w:rFonts w:hint="eastAsia" w:ascii="宋体" w:hAnsi="宋体"/>
          <w:sz w:val="36"/>
          <w:szCs w:val="36"/>
          <w:lang w:val="en-US" w:eastAsia="zh-CN"/>
        </w:rPr>
        <w:t>血常规流水线设备配套用医用耗材、</w:t>
      </w:r>
    </w:p>
    <w:p>
      <w:pPr>
        <w:pStyle w:val="5"/>
        <w:shd w:val="clear" w:color="auto" w:fill="FFFFFF"/>
        <w:spacing w:line="360" w:lineRule="auto"/>
        <w:ind w:firstLine="640"/>
        <w:jc w:val="center"/>
        <w:rPr>
          <w:rFonts w:ascii="新宋体" w:hAnsi="新宋体" w:eastAsia="新宋体" w:cs="新宋体"/>
          <w:sz w:val="22"/>
          <w:szCs w:val="22"/>
        </w:rPr>
      </w:pPr>
      <w:r>
        <w:rPr>
          <w:rFonts w:hint="eastAsia" w:ascii="宋体" w:hAnsi="宋体"/>
          <w:sz w:val="36"/>
          <w:szCs w:val="36"/>
          <w:lang w:val="en-US" w:eastAsia="zh-CN"/>
        </w:rPr>
        <w:t>试剂检验配送商采购</w:t>
      </w:r>
      <w:r>
        <w:rPr>
          <w:rFonts w:hint="eastAsia" w:ascii="宋体" w:hAnsi="宋体"/>
          <w:sz w:val="36"/>
          <w:szCs w:val="36"/>
        </w:rPr>
        <w:t>项目</w:t>
      </w:r>
    </w:p>
    <w:p>
      <w:pPr>
        <w:spacing w:line="360" w:lineRule="auto"/>
        <w:rPr>
          <w:rFonts w:hint="eastAsia" w:ascii="宋体" w:hAnsi="宋体" w:cs="宋体"/>
          <w:b/>
          <w:color w:val="000000"/>
          <w:sz w:val="24"/>
        </w:rPr>
      </w:pPr>
      <w:r>
        <w:rPr>
          <w:rFonts w:hint="eastAsia" w:ascii="宋体" w:hAnsi="宋体" w:cs="宋体"/>
          <w:b/>
          <w:color w:val="000000"/>
          <w:sz w:val="24"/>
          <w:lang w:eastAsia="zh-CN"/>
        </w:rPr>
        <w:t>一、</w:t>
      </w:r>
      <w:r>
        <w:rPr>
          <w:rFonts w:hint="eastAsia" w:ascii="宋体" w:hAnsi="宋体" w:cs="宋体"/>
          <w:b/>
          <w:color w:val="000000"/>
          <w:sz w:val="24"/>
        </w:rPr>
        <w:t>技术性要求：</w:t>
      </w:r>
    </w:p>
    <w:p>
      <w:pPr>
        <w:spacing w:line="360" w:lineRule="auto"/>
        <w:ind w:firstLine="482" w:firstLineChars="200"/>
        <w:jc w:val="center"/>
        <w:rPr>
          <w:rFonts w:hint="eastAsia" w:ascii="宋体" w:hAnsi="宋体" w:eastAsia="宋体" w:cs="宋体"/>
          <w:b/>
          <w:color w:val="000000"/>
          <w:sz w:val="24"/>
          <w:lang w:eastAsia="zh-CN"/>
        </w:rPr>
      </w:pPr>
      <w:r>
        <w:rPr>
          <w:rFonts w:hint="eastAsia" w:ascii="宋体" w:hAnsi="宋体" w:cs="宋体"/>
          <w:b/>
          <w:color w:val="000000"/>
          <w:sz w:val="24"/>
          <w:lang w:eastAsia="zh-CN"/>
        </w:rPr>
        <w:t>产品清单及采购限价表</w:t>
      </w:r>
    </w:p>
    <w:tbl>
      <w:tblPr>
        <w:tblStyle w:val="6"/>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8"/>
        <w:gridCol w:w="717"/>
        <w:gridCol w:w="2467"/>
        <w:gridCol w:w="3203"/>
        <w:gridCol w:w="1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5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序号</w:t>
            </w:r>
          </w:p>
        </w:tc>
        <w:tc>
          <w:tcPr>
            <w:tcW w:w="42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申请科室</w:t>
            </w:r>
          </w:p>
        </w:tc>
        <w:tc>
          <w:tcPr>
            <w:tcW w:w="144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名称</w:t>
            </w:r>
          </w:p>
        </w:tc>
        <w:tc>
          <w:tcPr>
            <w:tcW w:w="18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说明</w:t>
            </w:r>
          </w:p>
        </w:tc>
        <w:tc>
          <w:tcPr>
            <w:tcW w:w="99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采购限价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C反应蛋白（CRP）校准品</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层析柱</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1.93万元/个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超敏C反应蛋白(hs-CRP）检测试剂盒(乳胶增强免疫散射比浊法）</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风湿三项复合质控品</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C反应蛋白(CRP）检测试剂盒(乳胶增强免疫散射比浊法）</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瑞氏-姬姆萨染色液</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探头清洁液</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126.7元/瓶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糖化血红蛋白分析用洗脱液</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搭配迈瑞糖化血红蛋白流水线CAL7000使用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糖化血红蛋白溶血剂</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搭配迈瑞糖化血红蛋白流水线CAL7000使用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糖化血红蛋白校准品</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搭配迈瑞糖化血红蛋白流水线CAL7000使用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糖化血红蛋白质控品</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搭配迈瑞糖化血红蛋白流水线CAL7000使用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血清淀粉样蛋白A(SAA)检测试剂盒(乳胶增强免疫比浊法)</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血清淀粉样蛋白A校准品</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603元/盒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血清淀粉样蛋白A质控品</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603元/盒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血细胞分析仪用校准物（光学法）</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血细胞分析仪用质控物（光学法）</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17</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血细胞分析用染色液</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18</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血细胞分析用溶血剂</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19</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血细胞分析用溶血剂 LC LYSE</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257"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20</w:t>
            </w:r>
          </w:p>
        </w:tc>
        <w:tc>
          <w:tcPr>
            <w:tcW w:w="42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血细胞分析用稀释液</w:t>
            </w:r>
          </w:p>
        </w:tc>
        <w:tc>
          <w:tcPr>
            <w:tcW w:w="188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0"/>
                <w:szCs w:val="20"/>
                <w:u w:val="none"/>
              </w:rPr>
            </w:pPr>
            <w:r>
              <w:rPr>
                <w:rFonts w:hint="eastAsia" w:ascii="仿宋_GB2312" w:hAnsi="宋体" w:eastAsia="仿宋_GB2312" w:cs="仿宋_GB2312"/>
                <w:i w:val="0"/>
                <w:iCs w:val="0"/>
                <w:color w:val="333333"/>
                <w:kern w:val="0"/>
                <w:sz w:val="20"/>
                <w:szCs w:val="20"/>
                <w:u w:val="none"/>
                <w:lang w:val="en-US" w:eastAsia="zh-CN" w:bidi="ar"/>
              </w:rPr>
              <w:t>搭配迈瑞血常规流水线CAL7000使用</w:t>
            </w:r>
          </w:p>
        </w:tc>
        <w:tc>
          <w:tcPr>
            <w:tcW w:w="99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r>
              <w:rPr>
                <w:rFonts w:hint="eastAsia" w:ascii="仿宋_GB2312" w:hAnsi="宋体" w:eastAsia="仿宋_GB2312" w:cs="仿宋_GB2312"/>
                <w:i w:val="0"/>
                <w:iCs w:val="0"/>
                <w:color w:val="333333"/>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257" w:type="pct"/>
            <w:tcBorders>
              <w:top w:val="nil"/>
              <w:left w:val="single" w:color="000000" w:sz="8"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21</w:t>
            </w:r>
          </w:p>
        </w:tc>
        <w:tc>
          <w:tcPr>
            <w:tcW w:w="421"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检验科</w:t>
            </w:r>
          </w:p>
        </w:tc>
        <w:tc>
          <w:tcPr>
            <w:tcW w:w="1448"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一次性使用末梢采血管</w:t>
            </w:r>
          </w:p>
        </w:tc>
        <w:tc>
          <w:tcPr>
            <w:tcW w:w="1880"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搭配迈瑞血常规流水线CAL7000使用</w:t>
            </w:r>
          </w:p>
        </w:tc>
        <w:tc>
          <w:tcPr>
            <w:tcW w:w="992"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挂网最低价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5000" w:type="pct"/>
            <w:gridSpan w:val="5"/>
            <w:tcBorders>
              <w:top w:val="single" w:color="auto" w:sz="4" w:space="0"/>
              <w:left w:val="single" w:color="000000" w:sz="8" w:space="0"/>
              <w:bottom w:val="single" w:color="000000" w:sz="8" w:space="0"/>
              <w:right w:val="single" w:color="000000" w:sz="8" w:space="0"/>
            </w:tcBorders>
            <w:shd w:val="clear" w:color="auto" w:fill="auto"/>
            <w:vAlign w:val="center"/>
          </w:tcPr>
          <w:p>
            <w:pPr>
              <w:numPr>
                <w:ilvl w:val="0"/>
                <w:numId w:val="0"/>
              </w:numPr>
              <w:spacing w:line="360" w:lineRule="auto"/>
              <w:outlineLvl w:val="1"/>
              <w:rPr>
                <w:rFonts w:hint="default" w:ascii="宋体" w:hAnsi="宋体" w:eastAsia="宋体" w:cs="宋体"/>
                <w:b/>
                <w:bCs w:val="0"/>
                <w:color w:val="000000"/>
                <w:sz w:val="24"/>
                <w:lang w:val="en-US" w:eastAsia="zh-CN"/>
              </w:rPr>
            </w:pPr>
            <w:r>
              <w:rPr>
                <w:rFonts w:hint="eastAsia" w:ascii="宋体" w:hAnsi="宋体" w:cs="宋体"/>
                <w:b/>
                <w:bCs w:val="0"/>
                <w:color w:val="000000"/>
                <w:sz w:val="24"/>
                <w:lang w:val="en-US" w:eastAsia="zh-CN"/>
              </w:rPr>
              <w:t>备注：报名产品为挂网产品的应提供产品流水号及现行挂网最低价，非挂网产品报价不得高于上表中限价。</w:t>
            </w:r>
          </w:p>
          <w:p>
            <w:pPr>
              <w:keepNext w:val="0"/>
              <w:keepLines w:val="0"/>
              <w:widowControl/>
              <w:suppressLineNumbers w:val="0"/>
              <w:jc w:val="center"/>
              <w:textAlignment w:val="center"/>
              <w:rPr>
                <w:rFonts w:hint="eastAsia" w:ascii="仿宋_GB2312" w:hAnsi="宋体" w:eastAsia="仿宋_GB2312" w:cs="仿宋_GB2312"/>
                <w:i w:val="0"/>
                <w:iCs w:val="0"/>
                <w:color w:val="333333"/>
                <w:kern w:val="0"/>
                <w:sz w:val="20"/>
                <w:szCs w:val="20"/>
                <w:u w:val="none"/>
                <w:lang w:val="en-US" w:eastAsia="zh-CN" w:bidi="ar"/>
              </w:rPr>
            </w:pPr>
          </w:p>
        </w:tc>
      </w:tr>
    </w:tbl>
    <w:p>
      <w:pPr>
        <w:pStyle w:val="4"/>
        <w:widowControl w:val="0"/>
        <w:numPr>
          <w:ilvl w:val="0"/>
          <w:numId w:val="0"/>
        </w:numPr>
        <w:spacing w:after="120"/>
        <w:ind w:firstLine="241" w:firstLineChars="100"/>
        <w:jc w:val="both"/>
        <w:rPr>
          <w:rFonts w:hint="eastAsia"/>
          <w:b/>
          <w:bCs/>
          <w:sz w:val="24"/>
          <w:szCs w:val="36"/>
          <w:lang w:val="en-US" w:eastAsia="zh-CN"/>
        </w:rPr>
      </w:pPr>
    </w:p>
    <w:p>
      <w:pPr>
        <w:pStyle w:val="4"/>
        <w:widowControl w:val="0"/>
        <w:numPr>
          <w:ilvl w:val="0"/>
          <w:numId w:val="0"/>
        </w:numPr>
        <w:spacing w:after="120"/>
        <w:ind w:firstLine="241" w:firstLineChars="100"/>
        <w:jc w:val="both"/>
        <w:rPr>
          <w:rFonts w:hint="default" w:eastAsia="宋体"/>
          <w:b/>
          <w:bCs/>
          <w:sz w:val="24"/>
          <w:szCs w:val="36"/>
          <w:lang w:val="en-US" w:eastAsia="zh-CN"/>
        </w:rPr>
      </w:pPr>
      <w:r>
        <w:rPr>
          <w:rFonts w:hint="eastAsia"/>
          <w:b/>
          <w:bCs/>
          <w:sz w:val="24"/>
          <w:szCs w:val="36"/>
          <w:lang w:val="en-US" w:eastAsia="zh-CN"/>
        </w:rPr>
        <w:t>服务要求：</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★（一）配送价格</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1.纳入</w:t>
      </w:r>
      <w:r>
        <w:rPr>
          <w:rFonts w:hint="eastAsia" w:ascii="宋体" w:hAnsi="宋体" w:cs="宋体"/>
          <w:color w:val="000000"/>
          <w:sz w:val="22"/>
          <w:szCs w:val="22"/>
        </w:rPr>
        <w:t>四川省医疗保障信息大数据一体化平台药品和医用耗材招采管理子系统</w:t>
      </w:r>
      <w:r>
        <w:rPr>
          <w:rFonts w:hint="eastAsia" w:ascii="宋体" w:hAnsi="宋体" w:cs="宋体"/>
          <w:sz w:val="22"/>
          <w:szCs w:val="22"/>
        </w:rPr>
        <w:t>的产品，按照平台相关政策执行最低价格。</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2.未纳入四川省医疗保障信息大数据一体化平台药品和医用耗材招采管理子系统的产品，按照四川省内与采购单位前一年同等级的三家医院最低价执行（且不能超过采购人医院现在执行的采购价），</w:t>
      </w:r>
      <w:r>
        <w:rPr>
          <w:rFonts w:hint="eastAsia" w:ascii="宋体" w:hAnsi="宋体" w:cs="宋体"/>
          <w:sz w:val="22"/>
          <w:szCs w:val="22"/>
          <w:lang w:val="zh-CN"/>
        </w:rPr>
        <w:t>成交供应商</w:t>
      </w:r>
      <w:r>
        <w:rPr>
          <w:rFonts w:hint="eastAsia" w:ascii="宋体" w:hAnsi="宋体" w:cs="宋体"/>
          <w:sz w:val="22"/>
          <w:szCs w:val="22"/>
        </w:rPr>
        <w:t>提供销售发票佐证。每续签下一年度合同前，提供本年度同等级的三家医院销售发票，线下产品如挂网后，须按平台相关政策执行最低价。</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3.当遇到上级行政管理部门有新的规定或要求时，按新的规定或要求执行。</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（二）配送服务要求</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★1.供应商必须严格按照磋商文件要求和</w:t>
      </w:r>
      <w:r>
        <w:rPr>
          <w:rFonts w:hint="eastAsia" w:ascii="宋体" w:hAnsi="宋体" w:cs="楷体_GB2312"/>
          <w:kern w:val="0"/>
          <w:sz w:val="22"/>
          <w:szCs w:val="22"/>
        </w:rPr>
        <w:t>响应</w:t>
      </w:r>
      <w:r>
        <w:rPr>
          <w:rFonts w:hint="eastAsia" w:ascii="宋体" w:hAnsi="宋体" w:cs="宋体"/>
          <w:sz w:val="22"/>
          <w:szCs w:val="22"/>
        </w:rPr>
        <w:t>文件中的承诺提供配送服务。</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★2.供应商需按采购单位实际需求按时提供全面、合格的货物。保证提供的全部产品必须是正品正货，包装和内容一致，对所配送产品质量承担全部责任。</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★2.1保证采购单位在使用合同产品时免受第三方提出的有关专利权、商标权、销售权或保护期等方面的权利要求。</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★2.2供应商供应的产品必须符合国家耗材监督管理部门规定的质量标准，确保临床使用安全有效。供应商保证所供产品符合相关采购、销售管理规定。</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★2.3已纳入四川省医疗保障信息大数据一体化平台药品和医用耗材招采管理子系统的产品，供应商必须提供挂网流水号并保证其配送产品平台数据的顺利上报。</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2.4供应商供应的产品有效期应满足采购单位的要求。对近临期6个月内的产品进行调换，若有效期内出现质量问题，由供应商负责退（换）货；因质量问题导致相关医疗纠纷或经济赔偿，由供应商承担相应的经济和法律责任。</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★2.</w:t>
      </w:r>
      <w:r>
        <w:rPr>
          <w:rFonts w:ascii="宋体" w:hAnsi="宋体" w:cs="宋体"/>
          <w:sz w:val="22"/>
          <w:szCs w:val="22"/>
        </w:rPr>
        <w:t>5</w:t>
      </w:r>
      <w:r>
        <w:rPr>
          <w:rFonts w:hint="eastAsia" w:ascii="宋体" w:hAnsi="宋体" w:cs="宋体"/>
          <w:sz w:val="22"/>
          <w:szCs w:val="22"/>
        </w:rPr>
        <w:t>供应商提供的产品原则上不更换生产厂家，且应提供产品全面的规格型号可供采购人选择。若在服务期限内，产品出现规格型号调整、脱网、质量不佳等其他情况，可经双方协商提供原供货产品同等质量或以上的可替代产品，并在下一年度进行续签合同时，更新供货目录。</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3.配送时间：供应商在收到采购单位下达的采购计划后，需按双方约定的时限要求配送到位，不得延误采购单位临床医疗工作。常规产品应在24小时内送到采购单位指定的地点，临时采购计划应在双方约定的时间内供货。急抢救所需耗材，供应商在收到采购计划后须在2小时内供货到位。所有货物的交货日期以运抵采购单位收货日期为准。交货验收时须提供第三方质检部门从同类产品中抽样检查合格的检测报告。</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★4.配送地点：采购单位指定的地点。</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5.供应商需负责产品的运输、现场搬运和协助采购单位入库、提供产品开箱或分装的用具，同时协助办理验收入库手续；供应商负责办理运输和保险，有关运输和保险的一切费用以及运输过程中的风险由供应商承担。</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★6.供应商供应产品时，应保证供应商、产品制造商及产品的相关资质证件齐全，并及时到采购单位指定部门办理相关资质证件更新备案手续，成本由供应商承担。</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7.供应商需配有相应产品存放库房，满足产品存放条件，并保证有适当的备货，以确保采购单位需要。</w:t>
      </w:r>
    </w:p>
    <w:p>
      <w:pPr>
        <w:spacing w:line="360" w:lineRule="auto"/>
        <w:ind w:firstLine="215" w:firstLineChars="98"/>
        <w:outlineLvl w:val="1"/>
        <w:rPr>
          <w:rFonts w:ascii="宋体" w:hAnsi="宋体" w:cs="宋体"/>
          <w:sz w:val="22"/>
          <w:szCs w:val="22"/>
        </w:rPr>
      </w:pPr>
      <w:r>
        <w:rPr>
          <w:rFonts w:hint="eastAsia" w:ascii="宋体" w:hAnsi="宋体" w:cs="宋体"/>
          <w:sz w:val="22"/>
          <w:szCs w:val="22"/>
        </w:rPr>
        <w:t>8.供应商需为本项目配备适当的运输车辆，保证运输符合相关规定。</w:t>
      </w:r>
    </w:p>
    <w:p>
      <w:pPr>
        <w:spacing w:line="360" w:lineRule="auto"/>
        <w:ind w:firstLine="215" w:firstLineChars="98"/>
        <w:outlineLvl w:val="1"/>
        <w:rPr>
          <w:rFonts w:hint="eastAsia" w:ascii="宋体" w:hAnsi="宋体" w:cs="宋体"/>
          <w:sz w:val="22"/>
          <w:szCs w:val="22"/>
        </w:rPr>
      </w:pPr>
      <w:r>
        <w:rPr>
          <w:rFonts w:hint="eastAsia" w:ascii="宋体" w:hAnsi="宋体" w:cs="宋体"/>
          <w:sz w:val="22"/>
          <w:szCs w:val="22"/>
        </w:rPr>
        <w:t>9.供应商需为本项目配备专业服务人员，负责本项目配送服务和质量跟踪等相关工作，并将相关情况整理成书面报告交采购单位。</w:t>
      </w:r>
    </w:p>
    <w:p>
      <w:pPr>
        <w:pStyle w:val="4"/>
        <w:rPr>
          <w:rFonts w:hint="default" w:eastAsia="宋体"/>
          <w:b/>
          <w:bCs/>
          <w:sz w:val="24"/>
          <w:szCs w:val="36"/>
          <w:lang w:val="en-US" w:eastAsia="zh-CN"/>
        </w:rPr>
      </w:pPr>
      <w:r>
        <w:rPr>
          <w:rFonts w:hint="eastAsia"/>
          <w:b/>
          <w:bCs/>
          <w:sz w:val="24"/>
          <w:szCs w:val="36"/>
          <w:lang w:val="en-US" w:eastAsia="zh-CN"/>
        </w:rPr>
        <w:t>二、商务要求：</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2069"/>
        <w:gridCol w:w="5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pct"/>
            <w:vAlign w:val="center"/>
          </w:tcPr>
          <w:p>
            <w:pPr>
              <w:adjustRightInd w:val="0"/>
              <w:spacing w:line="360" w:lineRule="auto"/>
              <w:contextualSpacing/>
              <w:jc w:val="center"/>
              <w:rPr>
                <w:rFonts w:ascii="宋体" w:hAnsi="宋体"/>
                <w:b/>
                <w:bCs/>
                <w:spacing w:val="8"/>
                <w:sz w:val="18"/>
                <w:szCs w:val="18"/>
              </w:rPr>
            </w:pPr>
            <w:r>
              <w:rPr>
                <w:rFonts w:hint="eastAsia" w:ascii="宋体" w:hAnsi="宋体"/>
                <w:b/>
                <w:bCs/>
                <w:spacing w:val="8"/>
                <w:sz w:val="18"/>
                <w:szCs w:val="18"/>
              </w:rPr>
              <w:t>序号</w:t>
            </w:r>
          </w:p>
        </w:tc>
        <w:tc>
          <w:tcPr>
            <w:tcW w:w="1214" w:type="pct"/>
            <w:vAlign w:val="center"/>
          </w:tcPr>
          <w:p>
            <w:pPr>
              <w:adjustRightInd w:val="0"/>
              <w:spacing w:line="360" w:lineRule="auto"/>
              <w:contextualSpacing/>
              <w:jc w:val="center"/>
              <w:rPr>
                <w:rFonts w:ascii="宋体" w:hAnsi="宋体"/>
                <w:b/>
                <w:bCs/>
                <w:spacing w:val="8"/>
                <w:sz w:val="18"/>
                <w:szCs w:val="18"/>
              </w:rPr>
            </w:pPr>
            <w:r>
              <w:rPr>
                <w:rFonts w:hint="eastAsia" w:ascii="宋体" w:hAnsi="宋体"/>
                <w:b/>
                <w:bCs/>
                <w:spacing w:val="8"/>
                <w:sz w:val="18"/>
                <w:szCs w:val="18"/>
              </w:rPr>
              <w:t>内容</w:t>
            </w:r>
          </w:p>
        </w:tc>
        <w:tc>
          <w:tcPr>
            <w:tcW w:w="3357" w:type="pct"/>
            <w:vAlign w:val="center"/>
          </w:tcPr>
          <w:p>
            <w:pPr>
              <w:adjustRightInd w:val="0"/>
              <w:spacing w:line="360" w:lineRule="auto"/>
              <w:contextualSpacing/>
              <w:jc w:val="center"/>
              <w:rPr>
                <w:rFonts w:ascii="宋体" w:hAnsi="宋体"/>
                <w:b/>
                <w:bCs/>
                <w:spacing w:val="8"/>
                <w:sz w:val="18"/>
                <w:szCs w:val="18"/>
              </w:rPr>
            </w:pPr>
            <w:r>
              <w:rPr>
                <w:rFonts w:hint="eastAsia" w:ascii="宋体" w:hAnsi="宋体"/>
                <w:b/>
                <w:bCs/>
                <w:spacing w:val="8"/>
                <w:sz w:val="18"/>
                <w:szCs w:val="18"/>
              </w:rPr>
              <w:t>招标/采购要求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pct"/>
            <w:vAlign w:val="center"/>
          </w:tcPr>
          <w:p>
            <w:pPr>
              <w:adjustRightInd w:val="0"/>
              <w:spacing w:line="360" w:lineRule="auto"/>
              <w:contextualSpacing/>
              <w:jc w:val="center"/>
              <w:rPr>
                <w:rFonts w:ascii="宋体" w:hAnsi="宋体" w:cs="宋体"/>
                <w:kern w:val="0"/>
                <w:sz w:val="18"/>
                <w:szCs w:val="18"/>
                <w:lang w:val="zh-CN"/>
              </w:rPr>
            </w:pPr>
            <w:r>
              <w:rPr>
                <w:rFonts w:hint="eastAsia" w:ascii="宋体" w:hAnsi="宋体" w:cs="宋体"/>
                <w:kern w:val="0"/>
                <w:sz w:val="18"/>
                <w:szCs w:val="18"/>
                <w:lang w:val="zh-CN"/>
              </w:rPr>
              <w:t>1</w:t>
            </w:r>
          </w:p>
        </w:tc>
        <w:tc>
          <w:tcPr>
            <w:tcW w:w="1214" w:type="pct"/>
            <w:vAlign w:val="center"/>
          </w:tcPr>
          <w:p>
            <w:pPr>
              <w:adjustRightInd w:val="0"/>
              <w:spacing w:line="360" w:lineRule="auto"/>
              <w:contextualSpacing/>
              <w:rPr>
                <w:rFonts w:ascii="宋体" w:hAnsi="宋体" w:cs="宋体"/>
                <w:kern w:val="0"/>
                <w:sz w:val="18"/>
                <w:szCs w:val="18"/>
                <w:lang w:val="zh-CN"/>
              </w:rPr>
            </w:pPr>
            <w:r>
              <w:rPr>
                <w:rFonts w:hint="eastAsia" w:ascii="宋体" w:hAnsi="宋体" w:cs="宋体"/>
                <w:kern w:val="0"/>
                <w:sz w:val="18"/>
                <w:szCs w:val="18"/>
                <w:lang w:val="zh-CN"/>
              </w:rPr>
              <w:t>服务期限</w:t>
            </w:r>
            <w:r>
              <w:rPr>
                <w:rFonts w:ascii="宋体" w:hAnsi="宋体" w:cs="宋体"/>
                <w:kern w:val="0"/>
                <w:sz w:val="18"/>
                <w:szCs w:val="18"/>
                <w:lang w:val="zh-CN"/>
              </w:rPr>
              <w:t>/</w:t>
            </w:r>
            <w:r>
              <w:rPr>
                <w:rFonts w:hint="eastAsia" w:ascii="宋体" w:hAnsi="宋体" w:cs="宋体"/>
                <w:kern w:val="0"/>
                <w:sz w:val="18"/>
                <w:szCs w:val="18"/>
                <w:lang w:val="zh-CN"/>
              </w:rPr>
              <w:t>交货时间/工期要求</w:t>
            </w:r>
          </w:p>
        </w:tc>
        <w:tc>
          <w:tcPr>
            <w:tcW w:w="3357" w:type="pct"/>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bCs/>
                <w:spacing w:val="8"/>
                <w:sz w:val="18"/>
                <w:szCs w:val="18"/>
              </w:rPr>
            </w:pPr>
            <w:r>
              <w:rPr>
                <w:rFonts w:hint="eastAsia" w:ascii="宋体" w:hAnsi="宋体" w:cs="宋体"/>
                <w:sz w:val="18"/>
                <w:szCs w:val="18"/>
                <w:lang w:val="zh-CN"/>
              </w:rPr>
              <w:t>3年（自合同约定之日起计算）。合同满1年后，采购单位按照《供应商评价考核表》（详见附件）对成交供应商进行年度评价，考核合格后,再继续下一年的合作。如遇到国家或省、市级有关管理部门有新的规定或要求时，成交供应商可以与采购单位协商签订补充协议或补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pct"/>
            <w:vAlign w:val="center"/>
          </w:tcPr>
          <w:p>
            <w:pPr>
              <w:adjustRightInd w:val="0"/>
              <w:spacing w:line="360" w:lineRule="auto"/>
              <w:contextualSpacing/>
              <w:jc w:val="center"/>
              <w:rPr>
                <w:rFonts w:ascii="宋体" w:hAnsi="宋体" w:cs="宋体"/>
                <w:kern w:val="0"/>
                <w:sz w:val="18"/>
                <w:szCs w:val="18"/>
                <w:lang w:val="zh-CN"/>
              </w:rPr>
            </w:pPr>
            <w:r>
              <w:rPr>
                <w:rFonts w:hint="eastAsia" w:ascii="宋体" w:hAnsi="宋体" w:cs="宋体"/>
                <w:kern w:val="0"/>
                <w:sz w:val="18"/>
                <w:szCs w:val="18"/>
                <w:lang w:val="zh-CN"/>
              </w:rPr>
              <w:t>2</w:t>
            </w:r>
          </w:p>
        </w:tc>
        <w:tc>
          <w:tcPr>
            <w:tcW w:w="1214" w:type="pct"/>
            <w:vAlign w:val="center"/>
          </w:tcPr>
          <w:p>
            <w:pPr>
              <w:adjustRightInd w:val="0"/>
              <w:spacing w:line="360" w:lineRule="auto"/>
              <w:contextualSpacing/>
              <w:rPr>
                <w:rFonts w:ascii="宋体" w:hAnsi="宋体" w:cs="宋体"/>
                <w:kern w:val="0"/>
                <w:sz w:val="18"/>
                <w:szCs w:val="18"/>
                <w:lang w:val="zh-CN"/>
              </w:rPr>
            </w:pPr>
            <w:r>
              <w:rPr>
                <w:rFonts w:hint="eastAsia" w:ascii="宋体" w:hAnsi="宋体" w:cs="宋体"/>
                <w:kern w:val="0"/>
                <w:sz w:val="18"/>
                <w:szCs w:val="18"/>
                <w:lang w:val="zh-CN"/>
              </w:rPr>
              <w:t>交货</w:t>
            </w:r>
            <w:r>
              <w:rPr>
                <w:rFonts w:ascii="宋体" w:hAnsi="宋体" w:cs="宋体"/>
                <w:kern w:val="0"/>
                <w:sz w:val="18"/>
                <w:szCs w:val="18"/>
                <w:lang w:val="zh-CN"/>
              </w:rPr>
              <w:t>地点</w:t>
            </w:r>
          </w:p>
        </w:tc>
        <w:tc>
          <w:tcPr>
            <w:tcW w:w="3357" w:type="pct"/>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bCs/>
                <w:spacing w:val="8"/>
                <w:sz w:val="18"/>
                <w:szCs w:val="18"/>
              </w:rPr>
            </w:pPr>
            <w:r>
              <w:rPr>
                <w:rFonts w:hint="eastAsia" w:ascii="宋体" w:hAnsi="宋体" w:cs="宋体"/>
                <w:sz w:val="18"/>
                <w:szCs w:val="18"/>
                <w:lang w:val="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pct"/>
            <w:vAlign w:val="center"/>
          </w:tcPr>
          <w:p>
            <w:pPr>
              <w:adjustRightInd w:val="0"/>
              <w:spacing w:line="360" w:lineRule="auto"/>
              <w:contextualSpacing/>
              <w:jc w:val="center"/>
              <w:rPr>
                <w:rFonts w:ascii="宋体" w:hAnsi="宋体" w:cs="宋体"/>
                <w:kern w:val="0"/>
                <w:sz w:val="18"/>
                <w:szCs w:val="18"/>
                <w:lang w:val="zh-CN"/>
              </w:rPr>
            </w:pPr>
            <w:r>
              <w:rPr>
                <w:rFonts w:ascii="宋体" w:hAnsi="宋体" w:cs="宋体"/>
                <w:kern w:val="0"/>
                <w:sz w:val="18"/>
                <w:szCs w:val="18"/>
                <w:lang w:val="zh-CN"/>
              </w:rPr>
              <w:t>3</w:t>
            </w:r>
          </w:p>
        </w:tc>
        <w:tc>
          <w:tcPr>
            <w:tcW w:w="1214" w:type="pct"/>
            <w:vAlign w:val="center"/>
          </w:tcPr>
          <w:p>
            <w:pPr>
              <w:adjustRightInd w:val="0"/>
              <w:spacing w:line="360" w:lineRule="auto"/>
              <w:contextualSpacing/>
              <w:rPr>
                <w:rFonts w:ascii="宋体" w:hAnsi="宋体" w:cs="宋体"/>
                <w:kern w:val="0"/>
                <w:sz w:val="18"/>
                <w:szCs w:val="18"/>
                <w:lang w:val="zh-CN"/>
              </w:rPr>
            </w:pPr>
            <w:r>
              <w:rPr>
                <w:rFonts w:hint="eastAsia" w:ascii="宋体" w:hAnsi="宋体" w:cs="宋体"/>
                <w:kern w:val="0"/>
                <w:sz w:val="18"/>
                <w:szCs w:val="18"/>
                <w:lang w:val="zh-CN"/>
              </w:rPr>
              <w:t>履约、验收要求与标准</w:t>
            </w:r>
          </w:p>
        </w:tc>
        <w:tc>
          <w:tcPr>
            <w:tcW w:w="3357" w:type="pct"/>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rPr>
            </w:pPr>
            <w:r>
              <w:rPr>
                <w:rFonts w:hint="eastAsia" w:ascii="宋体" w:hAnsi="宋体" w:cs="宋体"/>
                <w:sz w:val="18"/>
                <w:szCs w:val="18"/>
              </w:rPr>
              <w:t>（1）成交供应商与采购人应参照《财政部关于进一步加强政府采购需求和履约验收管理的指导意见》（财库〔2016〕205号）、《绵阳市财政局关于进一步做好政府采购项目履约验收工作的通知》（绵财采〔2021〕15号）文件、竞争性磋商文件、成交供应商响应文件及合同的要求进行验收。具体由采购人组织相关专家，监管部门及单位监督人员参与验收。</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rPr>
            </w:pPr>
            <w:r>
              <w:rPr>
                <w:rFonts w:hint="eastAsia" w:ascii="宋体" w:hAnsi="宋体" w:cs="宋体"/>
                <w:sz w:val="18"/>
                <w:szCs w:val="18"/>
              </w:rPr>
              <w:t>（2）验收合格后，采购人出具《项目履约验收报告》。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pct"/>
            <w:vAlign w:val="center"/>
          </w:tcPr>
          <w:p>
            <w:pPr>
              <w:adjustRightInd w:val="0"/>
              <w:spacing w:line="360" w:lineRule="auto"/>
              <w:contextualSpacing/>
              <w:jc w:val="center"/>
              <w:rPr>
                <w:rFonts w:ascii="宋体" w:hAnsi="宋体" w:cs="宋体"/>
                <w:kern w:val="0"/>
                <w:sz w:val="18"/>
                <w:szCs w:val="18"/>
                <w:lang w:val="zh-CN"/>
              </w:rPr>
            </w:pPr>
            <w:r>
              <w:rPr>
                <w:rFonts w:ascii="宋体" w:hAnsi="宋体" w:cs="宋体"/>
                <w:kern w:val="0"/>
                <w:sz w:val="18"/>
                <w:szCs w:val="18"/>
                <w:lang w:val="zh-CN"/>
              </w:rPr>
              <w:t>4</w:t>
            </w:r>
          </w:p>
        </w:tc>
        <w:tc>
          <w:tcPr>
            <w:tcW w:w="1214" w:type="pct"/>
            <w:vAlign w:val="center"/>
          </w:tcPr>
          <w:p>
            <w:pPr>
              <w:adjustRightInd w:val="0"/>
              <w:spacing w:line="360" w:lineRule="auto"/>
              <w:contextualSpacing/>
              <w:rPr>
                <w:rFonts w:ascii="宋体" w:hAnsi="宋体" w:cs="宋体"/>
                <w:kern w:val="0"/>
                <w:sz w:val="18"/>
                <w:szCs w:val="18"/>
                <w:lang w:val="zh-CN"/>
              </w:rPr>
            </w:pPr>
            <w:r>
              <w:rPr>
                <w:rFonts w:hint="eastAsia" w:ascii="宋体" w:hAnsi="宋体" w:cs="宋体"/>
                <w:kern w:val="0"/>
                <w:sz w:val="18"/>
                <w:szCs w:val="18"/>
                <w:lang w:val="zh-CN"/>
              </w:rPr>
              <w:t>款项支付方式、进度</w:t>
            </w:r>
          </w:p>
        </w:tc>
        <w:tc>
          <w:tcPr>
            <w:tcW w:w="3357" w:type="pct"/>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rPr>
            </w:pPr>
            <w:r>
              <w:rPr>
                <w:rFonts w:hint="eastAsia" w:ascii="宋体" w:hAnsi="宋体" w:cs="宋体"/>
                <w:sz w:val="18"/>
                <w:szCs w:val="18"/>
              </w:rPr>
              <w:t>按医院付款程序，</w:t>
            </w:r>
            <w:r>
              <w:rPr>
                <w:rFonts w:hint="eastAsia" w:ascii="宋体" w:hAnsi="宋体" w:cs="宋体"/>
                <w:sz w:val="18"/>
                <w:szCs w:val="18"/>
                <w:lang w:val="zh-CN"/>
              </w:rPr>
              <w:t>成交供应商</w:t>
            </w:r>
            <w:r>
              <w:rPr>
                <w:rFonts w:hint="eastAsia" w:ascii="宋体" w:hAnsi="宋体" w:cs="宋体"/>
                <w:sz w:val="18"/>
                <w:szCs w:val="18"/>
              </w:rPr>
              <w:t>将货物运输到采购人指定地点交付验收合格并开具国家税法规定的正规、有效税务发票后在90天内支付款项，由采购单位向</w:t>
            </w:r>
            <w:r>
              <w:rPr>
                <w:rFonts w:hint="eastAsia" w:ascii="宋体" w:hAnsi="宋体" w:cs="宋体"/>
                <w:sz w:val="18"/>
                <w:szCs w:val="18"/>
                <w:lang w:val="zh-CN"/>
              </w:rPr>
              <w:t>成交</w:t>
            </w:r>
            <w:bookmarkStart w:id="0" w:name="_GoBack"/>
            <w:bookmarkEnd w:id="0"/>
            <w:r>
              <w:rPr>
                <w:rFonts w:hint="eastAsia" w:ascii="宋体" w:hAnsi="宋体" w:cs="宋体"/>
                <w:sz w:val="18"/>
                <w:szCs w:val="18"/>
                <w:lang w:val="zh-CN"/>
              </w:rPr>
              <w:t>供应商</w:t>
            </w:r>
            <w:r>
              <w:rPr>
                <w:rFonts w:hint="eastAsia" w:ascii="宋体" w:hAnsi="宋体" w:cs="宋体"/>
                <w:sz w:val="18"/>
                <w:szCs w:val="18"/>
              </w:rPr>
              <w:t>支付相关货款。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pct"/>
            <w:vAlign w:val="center"/>
          </w:tcPr>
          <w:p>
            <w:pPr>
              <w:adjustRightInd w:val="0"/>
              <w:spacing w:line="360" w:lineRule="auto"/>
              <w:contextualSpacing/>
              <w:jc w:val="center"/>
              <w:rPr>
                <w:rFonts w:ascii="宋体" w:hAnsi="宋体" w:cs="宋体"/>
                <w:kern w:val="0"/>
                <w:sz w:val="18"/>
                <w:szCs w:val="18"/>
                <w:lang w:val="zh-CN"/>
              </w:rPr>
            </w:pPr>
            <w:r>
              <w:rPr>
                <w:rFonts w:hint="eastAsia" w:ascii="宋体" w:hAnsi="宋体" w:cs="宋体"/>
                <w:kern w:val="0"/>
                <w:sz w:val="18"/>
                <w:szCs w:val="18"/>
                <w:lang w:val="zh-CN"/>
              </w:rPr>
              <w:t>5</w:t>
            </w:r>
          </w:p>
        </w:tc>
        <w:tc>
          <w:tcPr>
            <w:tcW w:w="1214" w:type="pct"/>
            <w:vAlign w:val="center"/>
          </w:tcPr>
          <w:p>
            <w:pPr>
              <w:adjustRightInd w:val="0"/>
              <w:spacing w:line="360" w:lineRule="auto"/>
              <w:contextualSpacing/>
              <w:rPr>
                <w:rFonts w:ascii="宋体" w:hAnsi="宋体" w:cs="宋体"/>
                <w:kern w:val="0"/>
                <w:sz w:val="18"/>
                <w:szCs w:val="18"/>
                <w:lang w:val="zh-CN"/>
              </w:rPr>
            </w:pPr>
            <w:r>
              <w:rPr>
                <w:rFonts w:hint="eastAsia" w:ascii="宋体" w:hAnsi="宋体" w:cs="宋体"/>
                <w:kern w:val="0"/>
                <w:sz w:val="18"/>
                <w:szCs w:val="18"/>
                <w:lang w:val="zh-CN"/>
              </w:rPr>
              <w:t>质保及售后服务要求/后续服务要求</w:t>
            </w:r>
          </w:p>
        </w:tc>
        <w:tc>
          <w:tcPr>
            <w:tcW w:w="3357" w:type="pct"/>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lang w:val="zh-CN"/>
              </w:rPr>
            </w:pPr>
            <w:r>
              <w:rPr>
                <w:rFonts w:hint="eastAsia" w:ascii="宋体" w:hAnsi="宋体" w:cs="宋体"/>
                <w:sz w:val="18"/>
                <w:szCs w:val="18"/>
              </w:rPr>
              <w:t>（1）</w:t>
            </w:r>
            <w:r>
              <w:rPr>
                <w:rFonts w:hint="eastAsia" w:ascii="宋体" w:hAnsi="宋体" w:cs="宋体"/>
                <w:sz w:val="18"/>
                <w:szCs w:val="18"/>
                <w:lang w:val="zh-CN"/>
              </w:rPr>
              <w:t>须符合国家及行业现行规范要求标准。</w:t>
            </w:r>
          </w:p>
          <w:p>
            <w:pPr>
              <w:pStyle w:val="4"/>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sz w:val="18"/>
                <w:szCs w:val="18"/>
                <w:lang w:val="zh-CN" w:eastAsia="zh-CN"/>
              </w:rPr>
            </w:pPr>
            <w:r>
              <w:rPr>
                <w:rFonts w:hint="eastAsia"/>
                <w:sz w:val="18"/>
                <w:szCs w:val="18"/>
                <w:lang w:val="zh-CN" w:eastAsia="zh-CN"/>
              </w:rPr>
              <w:t>（2）</w:t>
            </w:r>
            <w:r>
              <w:rPr>
                <w:rFonts w:hint="eastAsia"/>
                <w:sz w:val="18"/>
                <w:szCs w:val="18"/>
                <w:lang w:eastAsia="zh-CN"/>
              </w:rPr>
              <w:t>供应商</w:t>
            </w:r>
            <w:r>
              <w:rPr>
                <w:rFonts w:hint="eastAsia"/>
                <w:sz w:val="18"/>
                <w:szCs w:val="18"/>
                <w:lang w:val="zh-CN" w:eastAsia="zh-CN"/>
              </w:rPr>
              <w:t>需根据实际情况并结合采购人需求提供售后服务方案。</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sz w:val="18"/>
                <w:szCs w:val="18"/>
              </w:rPr>
            </w:pPr>
            <w:r>
              <w:rPr>
                <w:rFonts w:hint="eastAsia" w:ascii="宋体" w:hAnsi="宋体" w:cs="宋体"/>
                <w:sz w:val="18"/>
                <w:szCs w:val="18"/>
                <w:lang w:val="zh-CN"/>
              </w:rPr>
              <w:t>（3）</w:t>
            </w:r>
            <w:r>
              <w:rPr>
                <w:rFonts w:hint="eastAsia" w:ascii="宋体" w:hAnsi="宋体"/>
                <w:sz w:val="18"/>
                <w:szCs w:val="18"/>
              </w:rPr>
              <w:t>免费送货上门。如耗材出现质量问题，须在接到采购人通知后及时响应并在12小时内到现场，免费负责退换，并对由此引起的医疗或法律纠纷完全负责，并全额赔偿由此引起的经济赔偿。</w:t>
            </w:r>
          </w:p>
          <w:p>
            <w:pPr>
              <w:pStyle w:val="4"/>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sz w:val="18"/>
                <w:szCs w:val="18"/>
                <w:lang w:val="zh-CN" w:eastAsia="zh-CN"/>
              </w:rPr>
            </w:pPr>
            <w:r>
              <w:rPr>
                <w:rFonts w:hint="eastAsia"/>
                <w:sz w:val="18"/>
                <w:szCs w:val="18"/>
                <w:lang w:val="zh-CN" w:eastAsia="zh-CN"/>
              </w:rPr>
              <w:t>（4）</w:t>
            </w:r>
            <w:r>
              <w:rPr>
                <w:rFonts w:hint="eastAsia"/>
                <w:sz w:val="18"/>
                <w:szCs w:val="18"/>
                <w:lang w:eastAsia="zh-CN"/>
              </w:rPr>
              <w:t>供应商负责对所供产品进行免费的技术培训，包括操作、调试、注意事项，向采购人提供公司及产品的资质、产品中文操作手册及中文说明书等纸质资料及电子文档资料各一套。</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lang w:val="zh-CN"/>
              </w:rPr>
            </w:pPr>
            <w:r>
              <w:rPr>
                <w:rFonts w:hint="eastAsia" w:ascii="宋体" w:hAnsi="宋体" w:cs="宋体"/>
                <w:sz w:val="18"/>
                <w:szCs w:val="18"/>
                <w:lang w:val="zh-CN"/>
              </w:rPr>
              <w:t>（5）供应商应承诺能够按照配送服务合同规定的品牌、价格、规格、有效期等及时供货。如成交后不能满足上述采购人需求，直接影响采购人工作，对采购人造成直接或间接经济损失及负面影响的，将停止采购，并按照相关法律及规定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pct"/>
            <w:vAlign w:val="center"/>
          </w:tcPr>
          <w:p>
            <w:pPr>
              <w:adjustRightInd w:val="0"/>
              <w:spacing w:line="360" w:lineRule="auto"/>
              <w:contextualSpacing/>
              <w:jc w:val="center"/>
              <w:rPr>
                <w:rFonts w:ascii="宋体" w:hAnsi="宋体" w:cs="宋体"/>
                <w:kern w:val="0"/>
                <w:sz w:val="18"/>
                <w:szCs w:val="18"/>
                <w:lang w:val="zh-CN"/>
              </w:rPr>
            </w:pPr>
            <w:r>
              <w:rPr>
                <w:rFonts w:hint="eastAsia" w:ascii="宋体" w:hAnsi="宋体" w:cs="宋体"/>
                <w:kern w:val="0"/>
                <w:sz w:val="18"/>
                <w:szCs w:val="18"/>
                <w:lang w:val="zh-CN"/>
              </w:rPr>
              <w:t>6</w:t>
            </w:r>
          </w:p>
        </w:tc>
        <w:tc>
          <w:tcPr>
            <w:tcW w:w="1214" w:type="pct"/>
            <w:vAlign w:val="center"/>
          </w:tcPr>
          <w:p>
            <w:pPr>
              <w:adjustRightInd w:val="0"/>
              <w:spacing w:line="360" w:lineRule="auto"/>
              <w:contextualSpacing/>
              <w:rPr>
                <w:rFonts w:ascii="宋体" w:hAnsi="宋体" w:cs="宋体"/>
                <w:kern w:val="0"/>
                <w:sz w:val="18"/>
                <w:szCs w:val="18"/>
                <w:lang w:val="zh-CN"/>
              </w:rPr>
            </w:pPr>
            <w:r>
              <w:rPr>
                <w:rFonts w:hint="eastAsia" w:ascii="宋体" w:hAnsi="宋体" w:cs="宋体"/>
                <w:kern w:val="0"/>
                <w:sz w:val="18"/>
                <w:szCs w:val="18"/>
                <w:lang w:val="zh-CN"/>
              </w:rPr>
              <w:t>其他</w:t>
            </w:r>
          </w:p>
        </w:tc>
        <w:tc>
          <w:tcPr>
            <w:tcW w:w="3357" w:type="pct"/>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rPr>
            </w:pPr>
            <w:r>
              <w:rPr>
                <w:rFonts w:hint="eastAsia" w:ascii="宋体" w:hAnsi="宋体" w:cs="宋体"/>
                <w:sz w:val="18"/>
                <w:szCs w:val="18"/>
              </w:rPr>
              <w:t>（1）成交供应商在签订合同前，采购人有权要求对投标产品按照参数进行验证，若供应商虚假响应采购要求，则供应商应承担相关经济责任和法律责任。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lang w:val="zh-CN"/>
              </w:rPr>
            </w:pPr>
            <w:r>
              <w:rPr>
                <w:rFonts w:hint="eastAsia" w:ascii="宋体" w:hAnsi="宋体" w:cs="宋体"/>
                <w:sz w:val="18"/>
                <w:szCs w:val="18"/>
                <w:lang w:val="zh-CN"/>
              </w:rPr>
              <w:t>（2）</w:t>
            </w:r>
            <w:r>
              <w:rPr>
                <w:rFonts w:hint="eastAsia" w:ascii="宋体" w:hAnsi="宋体"/>
                <w:sz w:val="18"/>
                <w:szCs w:val="18"/>
              </w:rPr>
              <w:t>在产品配送完毕验收</w:t>
            </w:r>
            <w:r>
              <w:rPr>
                <w:rFonts w:ascii="宋体" w:hAnsi="宋体"/>
                <w:sz w:val="18"/>
                <w:szCs w:val="18"/>
              </w:rPr>
              <w:t>合格</w:t>
            </w:r>
            <w:r>
              <w:rPr>
                <w:rFonts w:hint="eastAsia" w:ascii="宋体" w:hAnsi="宋体"/>
                <w:sz w:val="18"/>
                <w:szCs w:val="18"/>
              </w:rPr>
              <w:t>后，供应商负责清洁安装场所并按相关要求处置产品的内（外）包装材料。</w:t>
            </w:r>
            <w:r>
              <w:rPr>
                <w:rFonts w:hint="eastAsia" w:ascii="宋体" w:hAnsi="宋体" w:cs="宋体"/>
                <w:sz w:val="18"/>
                <w:szCs w:val="18"/>
                <w:lang w:val="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lang w:val="zh-CN"/>
              </w:rPr>
            </w:pPr>
            <w:r>
              <w:rPr>
                <w:rFonts w:hint="eastAsia" w:ascii="宋体" w:hAnsi="宋体" w:cs="宋体"/>
                <w:sz w:val="18"/>
                <w:szCs w:val="18"/>
                <w:lang w:val="zh-CN"/>
              </w:rPr>
              <w:t>★（3）安全责任要求：供应商在履行本项目期间，将自行负责人身安全、财产安全、环境安全等。因履行本项目过程中造成的直接或间接损失，均由成交供应商自行承担。（提供单独的承诺函并加盖供应商鲜章，格式自拟，实质性要求）</w:t>
            </w:r>
          </w:p>
          <w:p>
            <w:pPr>
              <w:pStyle w:val="4"/>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sz w:val="18"/>
                <w:szCs w:val="18"/>
                <w:lang w:val="zh-CN" w:eastAsia="zh-CN"/>
              </w:rPr>
            </w:pPr>
            <w:r>
              <w:rPr>
                <w:rFonts w:hint="eastAsia"/>
                <w:sz w:val="18"/>
                <w:szCs w:val="18"/>
                <w:lang w:eastAsia="zh-CN"/>
              </w:rPr>
              <w:t>（4）报价是供应商完成本项目要求，达到设备验收合格交付使用的所有费用，包括但不限于完成本项目所涉及人工劳务、产品、利润、技术措施、机械设备投入、运输、风险、税金、招标代理服务费等费用，采购人不另支付其他费用。供应商应充分考虑本项目的风险，风险费用已含在报价中，采购人不再承担由于任何风险引起的费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rPr>
            </w:pPr>
            <w:r>
              <w:rPr>
                <w:rFonts w:hint="eastAsia" w:ascii="宋体" w:hAnsi="宋体" w:cs="宋体"/>
                <w:sz w:val="18"/>
                <w:szCs w:val="18"/>
                <w:lang w:val="zh-CN"/>
              </w:rPr>
              <w:t>★</w:t>
            </w:r>
            <w:r>
              <w:rPr>
                <w:rFonts w:hint="eastAsia" w:ascii="宋体" w:hAnsi="宋体" w:cs="宋体"/>
                <w:sz w:val="18"/>
                <w:szCs w:val="18"/>
              </w:rPr>
              <w:t>（5）供应商需在响应文件中承诺成交后在绵阳市内有售后服务机构（配送网点）。</w:t>
            </w:r>
            <w:r>
              <w:rPr>
                <w:rFonts w:hint="eastAsia" w:ascii="宋体" w:hAnsi="宋体" w:cs="宋体"/>
                <w:sz w:val="18"/>
                <w:szCs w:val="18"/>
                <w:lang w:val="zh-CN"/>
              </w:rPr>
              <w:t>（提供单独的承诺函并加盖供应商鲜章，格式自拟，实质性要求）</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textAlignment w:val="auto"/>
              <w:rPr>
                <w:rFonts w:ascii="宋体" w:hAnsi="宋体" w:cs="宋体"/>
                <w:sz w:val="18"/>
                <w:szCs w:val="18"/>
                <w:highlight w:val="red"/>
              </w:rPr>
            </w:pPr>
            <w:r>
              <w:rPr>
                <w:rFonts w:hint="eastAsia" w:ascii="宋体" w:hAnsi="宋体" w:cs="宋体"/>
                <w:sz w:val="18"/>
                <w:szCs w:val="18"/>
              </w:rPr>
              <w:t>（6）未尽事宜以合同约定为准。</w:t>
            </w:r>
          </w:p>
        </w:tc>
      </w:tr>
    </w:tbl>
    <w:p>
      <w:pPr>
        <w:pStyle w:val="3"/>
        <w:spacing w:line="276" w:lineRule="auto"/>
        <w:ind w:firstLine="482"/>
        <w:jc w:val="left"/>
        <w:rPr>
          <w:rFonts w:hint="eastAsia" w:ascii="宋体" w:hAnsi="宋体" w:cs="宋体"/>
          <w:b/>
          <w:bCs/>
          <w:sz w:val="22"/>
          <w:szCs w:val="22"/>
        </w:rPr>
      </w:pPr>
    </w:p>
    <w:p>
      <w:pPr>
        <w:pStyle w:val="3"/>
        <w:spacing w:line="276" w:lineRule="auto"/>
        <w:ind w:left="0" w:leftChars="0" w:firstLine="0" w:firstLineChars="0"/>
        <w:jc w:val="left"/>
        <w:rPr>
          <w:rFonts w:ascii="宋体" w:hAnsi="宋体"/>
          <w:b/>
          <w:bCs/>
          <w:sz w:val="22"/>
          <w:szCs w:val="22"/>
        </w:rPr>
      </w:pPr>
      <w:r>
        <w:rPr>
          <w:rFonts w:hint="eastAsia" w:ascii="宋体" w:hAnsi="宋体"/>
          <w:b/>
          <w:bCs/>
          <w:sz w:val="22"/>
          <w:szCs w:val="22"/>
          <w:lang w:eastAsia="zh-CN"/>
        </w:rPr>
        <w:t>三、</w:t>
      </w:r>
      <w:r>
        <w:rPr>
          <w:rFonts w:hint="eastAsia" w:ascii="宋体" w:hAnsi="宋体"/>
          <w:b/>
          <w:bCs/>
          <w:sz w:val="22"/>
          <w:szCs w:val="22"/>
        </w:rPr>
        <w:t>《供应商评价考核表》</w:t>
      </w:r>
    </w:p>
    <w:tbl>
      <w:tblPr>
        <w:tblStyle w:val="6"/>
        <w:tblW w:w="4998" w:type="pct"/>
        <w:jc w:val="center"/>
        <w:tblLayout w:type="autofit"/>
        <w:tblCellMar>
          <w:top w:w="0" w:type="dxa"/>
          <w:left w:w="108" w:type="dxa"/>
          <w:bottom w:w="0" w:type="dxa"/>
          <w:right w:w="108" w:type="dxa"/>
        </w:tblCellMar>
      </w:tblPr>
      <w:tblGrid>
        <w:gridCol w:w="1611"/>
        <w:gridCol w:w="4079"/>
        <w:gridCol w:w="852"/>
        <w:gridCol w:w="987"/>
        <w:gridCol w:w="990"/>
      </w:tblGrid>
      <w:tr>
        <w:tblPrEx>
          <w:tblCellMar>
            <w:top w:w="0" w:type="dxa"/>
            <w:left w:w="108" w:type="dxa"/>
            <w:bottom w:w="0" w:type="dxa"/>
            <w:right w:w="108" w:type="dxa"/>
          </w:tblCellMar>
        </w:tblPrEx>
        <w:trPr>
          <w:trHeight w:val="20" w:hRule="atLeast"/>
          <w:jc w:val="center"/>
        </w:trPr>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评价项目</w:t>
            </w:r>
          </w:p>
        </w:tc>
        <w:tc>
          <w:tcPr>
            <w:tcW w:w="2394" w:type="pct"/>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评价内容</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得分</w:t>
            </w:r>
          </w:p>
        </w:tc>
        <w:tc>
          <w:tcPr>
            <w:tcW w:w="579" w:type="pct"/>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得分</w:t>
            </w:r>
          </w:p>
        </w:tc>
        <w:tc>
          <w:tcPr>
            <w:tcW w:w="579" w:type="pct"/>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CellMar>
            <w:top w:w="0" w:type="dxa"/>
            <w:left w:w="108" w:type="dxa"/>
            <w:bottom w:w="0" w:type="dxa"/>
            <w:right w:w="108" w:type="dxa"/>
          </w:tblCellMar>
        </w:tblPrEx>
        <w:trPr>
          <w:trHeight w:val="20" w:hRule="atLeast"/>
          <w:jc w:val="center"/>
        </w:trPr>
        <w:tc>
          <w:tcPr>
            <w:tcW w:w="94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质量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30分</w:t>
            </w:r>
          </w:p>
        </w:tc>
        <w:tc>
          <w:tcPr>
            <w:tcW w:w="2394" w:type="pct"/>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1、收到使用单位对产品质量问题的投诉。（一次扣5分，共15分）</w:t>
            </w:r>
          </w:p>
        </w:tc>
        <w:tc>
          <w:tcPr>
            <w:tcW w:w="500"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kern w:val="0"/>
                <w:sz w:val="20"/>
                <w:szCs w:val="20"/>
              </w:rPr>
            </w:pPr>
          </w:p>
        </w:tc>
        <w:tc>
          <w:tcPr>
            <w:tcW w:w="2394" w:type="pct"/>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2、收到绵阳市质量监督部门对产品不良质量问题的反馈。（一次扣5分，共15分）</w:t>
            </w:r>
          </w:p>
        </w:tc>
        <w:tc>
          <w:tcPr>
            <w:tcW w:w="500"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价格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10分</w:t>
            </w:r>
          </w:p>
        </w:tc>
        <w:tc>
          <w:tcPr>
            <w:tcW w:w="2394"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纳入四川省药械集中采购及医药价格监管平台的产品，未按照平台相关政策执行最低价格。（一次扣5分，共10分）</w:t>
            </w:r>
          </w:p>
        </w:tc>
        <w:tc>
          <w:tcPr>
            <w:tcW w:w="500"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交货能力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30分</w:t>
            </w:r>
          </w:p>
        </w:tc>
        <w:tc>
          <w:tcPr>
            <w:tcW w:w="2394"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1、未按照约定时间配送。（一次扣2分，共10分）</w:t>
            </w:r>
          </w:p>
        </w:tc>
        <w:tc>
          <w:tcPr>
            <w:tcW w:w="500"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kern w:val="0"/>
                <w:sz w:val="20"/>
                <w:szCs w:val="20"/>
              </w:rPr>
            </w:pPr>
          </w:p>
        </w:tc>
        <w:tc>
          <w:tcPr>
            <w:tcW w:w="2394"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2、不能保证供货数量的准确性，若出现差错不能在三日内处理。（一次扣2分，共10分）</w:t>
            </w:r>
          </w:p>
        </w:tc>
        <w:tc>
          <w:tcPr>
            <w:tcW w:w="500"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kern w:val="0"/>
                <w:sz w:val="20"/>
                <w:szCs w:val="20"/>
              </w:rPr>
            </w:pPr>
          </w:p>
        </w:tc>
        <w:tc>
          <w:tcPr>
            <w:tcW w:w="2394"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3、不能保证供应产品的检测报告、合格证、发票、随货同行单材料等齐全，若出现差错不能在三日内处理。（一次扣2分，共10分）</w:t>
            </w:r>
          </w:p>
        </w:tc>
        <w:tc>
          <w:tcPr>
            <w:tcW w:w="500"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运输能力10分</w:t>
            </w:r>
          </w:p>
        </w:tc>
        <w:tc>
          <w:tcPr>
            <w:tcW w:w="2394" w:type="pct"/>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运输不符合相关规定。（一次扣5分，共10分）</w:t>
            </w:r>
          </w:p>
        </w:tc>
        <w:tc>
          <w:tcPr>
            <w:tcW w:w="500"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售后服务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20分</w:t>
            </w:r>
          </w:p>
        </w:tc>
        <w:tc>
          <w:tcPr>
            <w:tcW w:w="2394" w:type="pct"/>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1、包装破损和送货时临近到期日不能无条件更换。（一次扣2.5分，共5分）</w:t>
            </w:r>
          </w:p>
        </w:tc>
        <w:tc>
          <w:tcPr>
            <w:tcW w:w="500"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kern w:val="0"/>
                <w:sz w:val="20"/>
                <w:szCs w:val="20"/>
              </w:rPr>
            </w:pPr>
          </w:p>
        </w:tc>
        <w:tc>
          <w:tcPr>
            <w:tcW w:w="2394" w:type="pct"/>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2、产品出现问题时不能在规定的时间内及时处理。（一次扣2.5分，共5分）</w:t>
            </w:r>
          </w:p>
        </w:tc>
        <w:tc>
          <w:tcPr>
            <w:tcW w:w="500"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kern w:val="0"/>
                <w:sz w:val="20"/>
                <w:szCs w:val="20"/>
              </w:rPr>
            </w:pPr>
          </w:p>
        </w:tc>
        <w:tc>
          <w:tcPr>
            <w:tcW w:w="2394" w:type="pct"/>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3、未按要求回收过期、淘汰、变质或被污染的药械产品，并按环保法律法规进行处置。（一次扣2.5分，共5分）</w:t>
            </w:r>
          </w:p>
        </w:tc>
        <w:tc>
          <w:tcPr>
            <w:tcW w:w="500"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53" w:hRule="atLeast"/>
          <w:jc w:val="center"/>
        </w:trPr>
        <w:tc>
          <w:tcPr>
            <w:tcW w:w="946" w:type="pct"/>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kern w:val="0"/>
                <w:sz w:val="20"/>
                <w:szCs w:val="20"/>
              </w:rPr>
            </w:pPr>
          </w:p>
        </w:tc>
        <w:tc>
          <w:tcPr>
            <w:tcW w:w="2394" w:type="pct"/>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4、在突发公共卫生事件或紧急情况时，能为采购单位提供应急服务。（一次加2.5分，共5分）</w:t>
            </w:r>
          </w:p>
        </w:tc>
        <w:tc>
          <w:tcPr>
            <w:tcW w:w="500"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c>
          <w:tcPr>
            <w:tcW w:w="579" w:type="pct"/>
            <w:tcBorders>
              <w:top w:val="nil"/>
              <w:left w:val="nil"/>
              <w:bottom w:val="single" w:color="auto" w:sz="4" w:space="0"/>
              <w:right w:val="single" w:color="auto" w:sz="4" w:space="0"/>
            </w:tcBorders>
            <w:shd w:val="clear" w:color="auto" w:fill="auto"/>
          </w:tcPr>
          <w:p>
            <w:pPr>
              <w:widowControl/>
              <w:spacing w:line="276" w:lineRule="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946" w:type="pc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kern w:val="0"/>
                <w:sz w:val="20"/>
                <w:szCs w:val="20"/>
              </w:rPr>
            </w:pPr>
            <w:r>
              <w:rPr>
                <w:rFonts w:hint="eastAsia" w:ascii="宋体" w:hAnsi="宋体" w:cs="宋体"/>
                <w:color w:val="000000"/>
                <w:kern w:val="0"/>
                <w:sz w:val="20"/>
                <w:szCs w:val="20"/>
              </w:rPr>
              <w:t>评价考核最终得分及意见：</w:t>
            </w:r>
          </w:p>
        </w:tc>
        <w:tc>
          <w:tcPr>
            <w:tcW w:w="4053"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kern w:val="0"/>
                <w:sz w:val="20"/>
                <w:szCs w:val="20"/>
              </w:rPr>
            </w:pPr>
            <w:r>
              <w:rPr>
                <w:rFonts w:hint="eastAsia" w:ascii="宋体" w:hAnsi="宋体" w:cs="宋体"/>
                <w:color w:val="000000"/>
                <w:kern w:val="0"/>
                <w:sz w:val="20"/>
                <w:szCs w:val="20"/>
              </w:rPr>
              <w:t>备注：1、由采购人组织医院相关部门每年度对成交供应商进行考核。</w:t>
            </w:r>
          </w:p>
          <w:p>
            <w:pPr>
              <w:widowControl/>
              <w:spacing w:line="276" w:lineRule="auto"/>
              <w:jc w:val="left"/>
              <w:rPr>
                <w:rFonts w:ascii="宋体" w:hAnsi="宋体" w:cs="宋体"/>
                <w:color w:val="000000"/>
                <w:kern w:val="0"/>
                <w:sz w:val="20"/>
                <w:szCs w:val="20"/>
              </w:rPr>
            </w:pPr>
            <w:r>
              <w:rPr>
                <w:rFonts w:hint="eastAsia" w:ascii="宋体" w:hAnsi="宋体" w:cs="宋体"/>
                <w:color w:val="000000"/>
                <w:kern w:val="0"/>
                <w:sz w:val="20"/>
                <w:szCs w:val="20"/>
              </w:rPr>
              <w:t>2、评价考核得分≥80 分为合格，双方继续下一年度合作；60分≤评价考核得分＜80 分，根据服务情况调整配送份额；评价考核得分＜60分，限期30天内整改，出现连续3次整改情形时，终止合作。</w:t>
            </w:r>
          </w:p>
          <w:p>
            <w:pPr>
              <w:widowControl/>
              <w:spacing w:line="276" w:lineRule="auto"/>
              <w:jc w:val="left"/>
              <w:rPr>
                <w:rFonts w:ascii="宋体" w:hAnsi="宋体" w:cs="宋体"/>
                <w:color w:val="000000"/>
                <w:kern w:val="0"/>
                <w:sz w:val="20"/>
                <w:szCs w:val="20"/>
              </w:rPr>
            </w:pPr>
            <w:r>
              <w:rPr>
                <w:rFonts w:hint="eastAsia" w:ascii="宋体" w:hAnsi="宋体" w:cs="宋体"/>
                <w:color w:val="000000"/>
                <w:kern w:val="0"/>
                <w:sz w:val="20"/>
                <w:szCs w:val="20"/>
              </w:rPr>
              <w:t>3、成交供应商须无条件接受医院及院外纪检监察部门的检查及监督,与医院签订廉政协议并严格遵守，如违反协议内容, 实行一票否决，立即终止合作。</w:t>
            </w:r>
          </w:p>
        </w:tc>
      </w:tr>
    </w:tbl>
    <w:p>
      <w:pPr>
        <w:numPr>
          <w:ilvl w:val="0"/>
          <w:numId w:val="0"/>
        </w:numPr>
        <w:spacing w:line="360" w:lineRule="auto"/>
        <w:rPr>
          <w:rFonts w:hint="eastAsia" w:ascii="宋体" w:hAnsi="宋体" w:cs="宋体"/>
          <w:b/>
          <w:color w:val="000000"/>
          <w:sz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黑体" w:hAnsi="黑体" w:eastAsia="黑体" w:cs="黑体"/>
          <w:b w:val="0"/>
          <w:bCs w:val="0"/>
          <w:i w:val="0"/>
          <w:iCs w:val="0"/>
          <w:caps w:val="0"/>
          <w:color w:val="auto"/>
          <w:spacing w:val="0"/>
          <w:sz w:val="28"/>
          <w:szCs w:val="28"/>
          <w:shd w:val="clear" w:color="auto" w:fill="FFFFFF"/>
          <w:lang w:val="en-US" w:eastAsia="zh-CN"/>
        </w:rPr>
      </w:pPr>
      <w:r>
        <w:rPr>
          <w:rFonts w:hint="eastAsia" w:ascii="仿宋_GB2312" w:hAnsi="仿宋_GB2312" w:eastAsia="仿宋_GB2312" w:cs="仿宋_GB2312"/>
          <w:b w:val="0"/>
          <w:bCs w:val="0"/>
          <w:i w:val="0"/>
          <w:iCs w:val="0"/>
          <w:caps w:val="0"/>
          <w:color w:val="auto"/>
          <w:spacing w:val="0"/>
          <w:sz w:val="28"/>
          <w:szCs w:val="28"/>
          <w:shd w:val="clear" w:color="auto" w:fill="FFFFFF"/>
          <w:lang w:val="en-US" w:eastAsia="zh-CN"/>
        </w:rPr>
        <w:t>备注：1.非评分项皆属于实质性要求。2.实质性要求负偏离属于无效投标。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OWI1OWExNTY3MTM0MzI4YWUzNjVkYzk0YmQ2OTMifQ=="/>
  </w:docVars>
  <w:rsids>
    <w:rsidRoot w:val="00000000"/>
    <w:rsid w:val="045F6050"/>
    <w:rsid w:val="0C0A7CA1"/>
    <w:rsid w:val="1A64047B"/>
    <w:rsid w:val="1C586D2D"/>
    <w:rsid w:val="21676C37"/>
    <w:rsid w:val="24EE3347"/>
    <w:rsid w:val="2B1B3AD4"/>
    <w:rsid w:val="2EEF0BEE"/>
    <w:rsid w:val="39F252A2"/>
    <w:rsid w:val="557054CE"/>
    <w:rsid w:val="57765F0B"/>
    <w:rsid w:val="5BF81C3E"/>
    <w:rsid w:val="6553178B"/>
    <w:rsid w:val="70AC0614"/>
    <w:rsid w:val="7203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9"/>
    <w:pPr>
      <w:keepNext/>
      <w:spacing w:before="240" w:after="60"/>
      <w:outlineLvl w:val="3"/>
    </w:pPr>
    <w:rPr>
      <w:b/>
      <w:bCs/>
      <w:sz w:val="28"/>
      <w:szCs w:val="28"/>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Body Text"/>
    <w:basedOn w:val="1"/>
    <w:next w:val="1"/>
    <w:autoRedefine/>
    <w:qFormat/>
    <w:uiPriority w:val="0"/>
    <w:pPr>
      <w:spacing w:after="120"/>
    </w:pPr>
    <w:rPr>
      <w:kern w:val="0"/>
      <w:sz w:val="20"/>
    </w:rPr>
  </w:style>
  <w:style w:type="paragraph" w:styleId="5">
    <w:name w:val="Normal (Web)"/>
    <w:basedOn w:val="1"/>
    <w:autoRedefine/>
    <w:qFormat/>
    <w:uiPriority w:val="99"/>
    <w:pPr>
      <w:widowControl/>
      <w:jc w:val="left"/>
    </w:pPr>
    <w:rPr>
      <w:rFonts w:ascii="宋体" w:hAnsi="宋体" w:cs="宋体"/>
      <w:kern w:val="0"/>
      <w:sz w:val="24"/>
    </w:rPr>
  </w:style>
  <w:style w:type="paragraph" w:customStyle="1" w:styleId="8">
    <w:name w:val="正文首行缩进两字符"/>
    <w:basedOn w:val="1"/>
    <w:autoRedefine/>
    <w:qFormat/>
    <w:uiPriority w:val="0"/>
    <w:pPr>
      <w:spacing w:line="360" w:lineRule="auto"/>
      <w:ind w:firstLine="200" w:firstLineChars="200"/>
    </w:pPr>
  </w:style>
  <w:style w:type="character" w:customStyle="1" w:styleId="9">
    <w:name w:val="font31"/>
    <w:basedOn w:val="7"/>
    <w:autoRedefine/>
    <w:qFormat/>
    <w:uiPriority w:val="0"/>
    <w:rPr>
      <w:rFonts w:hint="eastAsia" w:ascii="宋体" w:hAnsi="宋体" w:eastAsia="宋体" w:cs="宋体"/>
      <w:color w:val="000000"/>
      <w:sz w:val="22"/>
      <w:szCs w:val="22"/>
      <w:u w:val="none"/>
    </w:rPr>
  </w:style>
  <w:style w:type="character" w:customStyle="1" w:styleId="10">
    <w:name w:val="font1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ascii="Arial" w:hAnsi="Arial" w:cs="Arial"/>
      <w:color w:val="000000"/>
      <w:sz w:val="22"/>
      <w:szCs w:val="22"/>
      <w:u w:val="none"/>
    </w:rPr>
  </w:style>
  <w:style w:type="character" w:customStyle="1" w:styleId="12">
    <w:name w:val="font51"/>
    <w:basedOn w:val="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2024-01-15T06:04:00Z</dcterms:created>
  <dc:creator>Administrator</dc:creator>
  <cp:lastModifiedBy>罗罗</cp:lastModifiedBy>
  <cp:lastPrinted>2024-04-03T02:39:00Z</cp:lastPrinted>
  <dcterms:modified xsi:type="dcterms:W3CDTF">2024-04-08T08:27:03Z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2763D194100042A784D337A30C33CF6E_13</vt:lpwstr>
  </property>
</Properties>
</file>